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08" w:rsidRPr="003C6308" w:rsidRDefault="003C6308" w:rsidP="003C6308">
      <w:pPr>
        <w:shd w:val="clear" w:color="auto" w:fill="F3F4F6"/>
        <w:spacing w:before="100" w:beforeAutospacing="1" w:after="100" w:afterAutospacing="1" w:line="270" w:lineRule="atLeast"/>
        <w:jc w:val="center"/>
        <w:rPr>
          <w:rFonts w:ascii="Arial" w:hAnsi="Arial" w:cs="Arial"/>
          <w:b/>
          <w:i/>
          <w:sz w:val="24"/>
          <w:szCs w:val="24"/>
          <w:u w:val="single"/>
          <w:shd w:val="clear" w:color="auto" w:fill="F3F4F6"/>
        </w:rPr>
      </w:pPr>
      <w:r w:rsidRPr="003C6308">
        <w:rPr>
          <w:rFonts w:ascii="Arial" w:hAnsi="Arial" w:cs="Arial"/>
          <w:b/>
          <w:i/>
          <w:sz w:val="24"/>
          <w:szCs w:val="24"/>
          <w:u w:val="single"/>
          <w:shd w:val="clear" w:color="auto" w:fill="F3F4F6"/>
        </w:rPr>
        <w:t xml:space="preserve">PATRIMONIO NATURAL </w:t>
      </w:r>
      <w:bookmarkStart w:id="0" w:name="_GoBack"/>
      <w:bookmarkEnd w:id="0"/>
      <w:r w:rsidRPr="003C6308">
        <w:rPr>
          <w:rFonts w:ascii="Arial" w:hAnsi="Arial" w:cs="Arial"/>
          <w:b/>
          <w:i/>
          <w:sz w:val="24"/>
          <w:szCs w:val="24"/>
          <w:u w:val="single"/>
          <w:shd w:val="clear" w:color="auto" w:fill="F3F4F6"/>
        </w:rPr>
        <w:t>DEL PERÚ</w:t>
      </w:r>
    </w:p>
    <w:p w:rsidR="003C6308" w:rsidRPr="003C6308" w:rsidRDefault="003C6308" w:rsidP="003C6308">
      <w:pPr>
        <w:pStyle w:val="NormalWeb"/>
        <w:shd w:val="clear" w:color="auto" w:fill="F3F4F6"/>
        <w:spacing w:before="0" w:beforeAutospacing="0" w:after="0" w:afterAutospacing="0" w:line="270" w:lineRule="atLeast"/>
        <w:rPr>
          <w:rFonts w:ascii="Arial" w:hAnsi="Arial" w:cs="Arial"/>
          <w:sz w:val="22"/>
          <w:szCs w:val="22"/>
        </w:rPr>
      </w:pPr>
      <w:r w:rsidRPr="003C6308">
        <w:rPr>
          <w:rStyle w:val="Textoennegrita"/>
          <w:rFonts w:ascii="Arial" w:hAnsi="Arial" w:cs="Arial"/>
          <w:sz w:val="22"/>
          <w:szCs w:val="22"/>
        </w:rPr>
        <w:t>EL SERNANP</w:t>
      </w:r>
    </w:p>
    <w:p w:rsidR="003C6308" w:rsidRPr="003C6308" w:rsidRDefault="003C6308" w:rsidP="003C6308">
      <w:pPr>
        <w:pStyle w:val="NormalWeb"/>
        <w:shd w:val="clear" w:color="auto" w:fill="F3F4F6"/>
        <w:spacing w:before="0" w:beforeAutospacing="0" w:after="0" w:afterAutospacing="0" w:line="270" w:lineRule="atLeast"/>
        <w:jc w:val="both"/>
        <w:rPr>
          <w:rFonts w:ascii="Arial" w:hAnsi="Arial" w:cs="Arial"/>
          <w:sz w:val="18"/>
          <w:szCs w:val="18"/>
        </w:rPr>
      </w:pPr>
      <w:r w:rsidRPr="003C6308">
        <w:rPr>
          <w:rFonts w:ascii="Arial" w:hAnsi="Arial" w:cs="Arial"/>
          <w:sz w:val="18"/>
          <w:szCs w:val="18"/>
        </w:rPr>
        <w:t>El Servicio Nacional de Áreas Naturales Protegidas por el Estado - SERNANP, es un Organismo Público Técnico Especializado adscrito al Ministerio del Ambiente, a través del</w:t>
      </w:r>
      <w:r w:rsidRPr="003C6308">
        <w:rPr>
          <w:rStyle w:val="apple-converted-space"/>
          <w:rFonts w:ascii="Arial" w:hAnsi="Arial" w:cs="Arial"/>
          <w:sz w:val="18"/>
          <w:szCs w:val="18"/>
        </w:rPr>
        <w:t> </w:t>
      </w:r>
      <w:hyperlink r:id="rId6" w:history="1">
        <w:r w:rsidRPr="003C6308">
          <w:rPr>
            <w:rStyle w:val="nfasis"/>
            <w:rFonts w:ascii="Arial" w:hAnsi="Arial" w:cs="Arial"/>
            <w:b/>
            <w:bCs/>
            <w:sz w:val="18"/>
            <w:szCs w:val="18"/>
          </w:rPr>
          <w:t>Decreto Legislativo 1013</w:t>
        </w:r>
      </w:hyperlink>
      <w:r w:rsidRPr="003C6308">
        <w:rPr>
          <w:rStyle w:val="apple-converted-space"/>
          <w:rFonts w:ascii="Arial" w:hAnsi="Arial" w:cs="Arial"/>
          <w:sz w:val="18"/>
          <w:szCs w:val="18"/>
        </w:rPr>
        <w:t> </w:t>
      </w:r>
      <w:r w:rsidRPr="003C6308">
        <w:rPr>
          <w:rFonts w:ascii="Arial" w:hAnsi="Arial" w:cs="Arial"/>
          <w:sz w:val="18"/>
          <w:szCs w:val="18"/>
        </w:rPr>
        <w:t>del 14 de mayo de 2008, encargado de dirigir y establecer los criterios técnicos y administrativos para la conservación de las Áreas Naturales Protegidas – ANP, y de cautelar el mantenimiento de la diversidad biológica. El SERNANP es el ente rector del Sistema Nacional de Áreas Naturales Protegidas por el Estado – SINANPE, y en su calidad de autoridad técnico-normativa realiza su trabajo en coordinación con gobiernos regionales, locales y propietarios de predios reconocidos como áreas de conservación privada.</w:t>
      </w:r>
    </w:p>
    <w:p w:rsidR="003C6308" w:rsidRPr="003C6308" w:rsidRDefault="003C6308" w:rsidP="003C6308">
      <w:pPr>
        <w:shd w:val="clear" w:color="auto" w:fill="F3F4F6"/>
        <w:spacing w:after="0" w:line="270" w:lineRule="atLeast"/>
        <w:jc w:val="both"/>
        <w:rPr>
          <w:rFonts w:ascii="Arial" w:hAnsi="Arial" w:cs="Arial"/>
          <w:b/>
          <w:bCs/>
          <w:shd w:val="clear" w:color="auto" w:fill="9DB0B4"/>
        </w:rPr>
      </w:pPr>
      <w:r w:rsidRPr="003C6308">
        <w:rPr>
          <w:rFonts w:ascii="Arial" w:hAnsi="Arial" w:cs="Arial"/>
          <w:sz w:val="18"/>
          <w:szCs w:val="18"/>
          <w:shd w:val="clear" w:color="auto" w:fill="F3F4F6"/>
        </w:rPr>
        <w:t>Las Áreas Naturales Protegidas, ANP, en su conjunto, constituyen parte fundamental de patrimonio natural del Perú. Las áreas naturales, además de conservar muestras representativas de nuestra extraordinaria diversidad biológica –su objetivo por excelencia–, tienen una enorme importancia por los servicios ambientales que brindan.</w:t>
      </w:r>
    </w:p>
    <w:p w:rsidR="003C6308" w:rsidRPr="003C6308" w:rsidRDefault="003C6308" w:rsidP="00E060E4">
      <w:pPr>
        <w:shd w:val="clear" w:color="auto" w:fill="F2F2F2" w:themeFill="background1" w:themeFillShade="F2"/>
        <w:spacing w:after="0" w:line="270" w:lineRule="atLeast"/>
        <w:jc w:val="both"/>
        <w:rPr>
          <w:rFonts w:ascii="Arial" w:eastAsia="Times New Roman" w:hAnsi="Arial" w:cs="Arial"/>
          <w:sz w:val="20"/>
          <w:szCs w:val="20"/>
          <w:lang w:eastAsia="es-ES"/>
        </w:rPr>
      </w:pPr>
      <w:r w:rsidRPr="00E060E4">
        <w:rPr>
          <w:rFonts w:ascii="Arial" w:hAnsi="Arial" w:cs="Arial"/>
          <w:b/>
          <w:bCs/>
          <w:shd w:val="clear" w:color="auto" w:fill="9DB0B4"/>
        </w:rPr>
        <w:t>¿QUÉ ES UN ANP?</w:t>
      </w:r>
    </w:p>
    <w:p w:rsidR="003C6308" w:rsidRPr="003C6308" w:rsidRDefault="003C6308" w:rsidP="003C6308">
      <w:pPr>
        <w:shd w:val="clear" w:color="auto" w:fill="F3F4F6"/>
        <w:spacing w:after="0" w:line="270" w:lineRule="atLeast"/>
        <w:jc w:val="both"/>
        <w:rPr>
          <w:rFonts w:ascii="Arial" w:eastAsia="Times New Roman" w:hAnsi="Arial" w:cs="Arial"/>
          <w:sz w:val="18"/>
          <w:szCs w:val="18"/>
          <w:lang w:eastAsia="es-ES"/>
        </w:rPr>
      </w:pPr>
      <w:r w:rsidRPr="003C6308">
        <w:rPr>
          <w:rFonts w:ascii="Arial" w:eastAsia="Times New Roman" w:hAnsi="Arial" w:cs="Arial"/>
          <w:sz w:val="20"/>
          <w:szCs w:val="20"/>
          <w:lang w:eastAsia="es-ES"/>
        </w:rPr>
        <w:t>Son espacios continentales y/o marinos del territorio nacional reconocidos, establecidos y protegidos legalmente por el Estado como tales, debido a su importancia para la conservación de la diversidad biológica y demás valores asociados de interés cultural, paisajístico y científico, así como por su contribución al desarrollo sostenible del país.</w:t>
      </w:r>
    </w:p>
    <w:p w:rsidR="003C6308" w:rsidRPr="003C6308" w:rsidRDefault="003C6308" w:rsidP="003C6308">
      <w:pPr>
        <w:shd w:val="clear" w:color="auto" w:fill="F3F4F6"/>
        <w:spacing w:after="0" w:line="270" w:lineRule="atLeast"/>
        <w:jc w:val="both"/>
        <w:rPr>
          <w:rFonts w:ascii="Arial" w:eastAsia="Times New Roman" w:hAnsi="Arial" w:cs="Arial"/>
          <w:sz w:val="18"/>
          <w:szCs w:val="18"/>
          <w:lang w:eastAsia="es-ES"/>
        </w:rPr>
      </w:pPr>
      <w:r w:rsidRPr="003C6308">
        <w:rPr>
          <w:rFonts w:ascii="Arial" w:eastAsia="Times New Roman" w:hAnsi="Arial" w:cs="Arial"/>
          <w:sz w:val="18"/>
          <w:szCs w:val="18"/>
          <w:lang w:eastAsia="es-ES"/>
        </w:rPr>
        <w:t xml:space="preserve">Según </w:t>
      </w:r>
      <w:proofErr w:type="spellStart"/>
      <w:r w:rsidRPr="003C6308">
        <w:rPr>
          <w:rFonts w:ascii="Arial" w:eastAsia="Times New Roman" w:hAnsi="Arial" w:cs="Arial"/>
          <w:sz w:val="18"/>
          <w:szCs w:val="18"/>
          <w:lang w:eastAsia="es-ES"/>
        </w:rPr>
        <w:t>en</w:t>
      </w:r>
      <w:proofErr w:type="spellEnd"/>
      <w:r w:rsidRPr="003C6308">
        <w:rPr>
          <w:rFonts w:ascii="Arial" w:eastAsia="Times New Roman" w:hAnsi="Arial" w:cs="Arial"/>
          <w:sz w:val="18"/>
          <w:szCs w:val="18"/>
          <w:lang w:eastAsia="es-ES"/>
        </w:rPr>
        <w:t xml:space="preserve"> Artículo 68° de la Constitución Política del Perú “El Estado está obligado a promover la conservación de la diversidad biológica y de las Áreas Naturales Protegidas”.</w:t>
      </w:r>
    </w:p>
    <w:p w:rsidR="003C6308" w:rsidRPr="003C6308" w:rsidRDefault="003C6308" w:rsidP="003C6308">
      <w:pPr>
        <w:shd w:val="clear" w:color="auto" w:fill="F3F4F6"/>
        <w:spacing w:after="0" w:line="270" w:lineRule="atLeast"/>
        <w:jc w:val="both"/>
        <w:rPr>
          <w:rFonts w:ascii="Arial" w:eastAsia="Times New Roman" w:hAnsi="Arial" w:cs="Arial"/>
          <w:sz w:val="18"/>
          <w:szCs w:val="18"/>
          <w:lang w:eastAsia="es-ES"/>
        </w:rPr>
      </w:pPr>
      <w:r w:rsidRPr="003C6308">
        <w:rPr>
          <w:rFonts w:ascii="Arial" w:eastAsia="Times New Roman" w:hAnsi="Arial" w:cs="Arial"/>
          <w:sz w:val="20"/>
          <w:szCs w:val="20"/>
          <w:lang w:eastAsia="es-ES"/>
        </w:rPr>
        <w:t>Características principales:</w:t>
      </w:r>
    </w:p>
    <w:p w:rsidR="003C6308" w:rsidRPr="003C6308" w:rsidRDefault="003C6308" w:rsidP="003C6308">
      <w:pPr>
        <w:numPr>
          <w:ilvl w:val="0"/>
          <w:numId w:val="1"/>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Es un área geográficamente definida: lo que indica que su ubicación, límites y extensión están claramente establecidos a través de un instrumento legal, y demarcados en el terreno.</w:t>
      </w:r>
    </w:p>
    <w:p w:rsidR="003C6308" w:rsidRPr="003C6308" w:rsidRDefault="003C6308" w:rsidP="003C6308">
      <w:pPr>
        <w:numPr>
          <w:ilvl w:val="0"/>
          <w:numId w:val="1"/>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Designada y manejada: establecida para un uso controlado a través de planes de manejo.</w:t>
      </w:r>
    </w:p>
    <w:p w:rsidR="003C6308" w:rsidRPr="003C6308" w:rsidRDefault="003C6308" w:rsidP="003C6308">
      <w:pPr>
        <w:numPr>
          <w:ilvl w:val="0"/>
          <w:numId w:val="1"/>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 xml:space="preserve">Con el fin de alcanzar objetivos específicos de conservación: para conseguir la conservación a largo plazo de la naturaleza y de sus servicios </w:t>
      </w:r>
      <w:proofErr w:type="spellStart"/>
      <w:r w:rsidRPr="003C6308">
        <w:rPr>
          <w:rFonts w:ascii="Arial" w:eastAsia="Times New Roman" w:hAnsi="Arial" w:cs="Arial"/>
          <w:sz w:val="20"/>
          <w:szCs w:val="20"/>
          <w:shd w:val="clear" w:color="auto" w:fill="F3F4F6"/>
          <w:lang w:eastAsia="es-ES"/>
        </w:rPr>
        <w:t>ecosistémicos</w:t>
      </w:r>
      <w:proofErr w:type="spellEnd"/>
      <w:r w:rsidRPr="003C6308">
        <w:rPr>
          <w:rFonts w:ascii="Arial" w:eastAsia="Times New Roman" w:hAnsi="Arial" w:cs="Arial"/>
          <w:sz w:val="20"/>
          <w:szCs w:val="20"/>
          <w:shd w:val="clear" w:color="auto" w:fill="F3F4F6"/>
          <w:lang w:eastAsia="es-ES"/>
        </w:rPr>
        <w:t xml:space="preserve"> y sus valores culturales asociados. El Convenio sobre la Diversidad Biológica (CBD) define un área protegida como “un área geográficamente definida que está designada o regulada y gestionada para lograr específicos objetivos de conservación.</w:t>
      </w:r>
    </w:p>
    <w:p w:rsidR="003C6308" w:rsidRPr="003C6308" w:rsidRDefault="003C6308" w:rsidP="003C6308">
      <w:pPr>
        <w:numPr>
          <w:ilvl w:val="0"/>
          <w:numId w:val="1"/>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Mantiene muestras de los distintos tipos de comunidad natural, paisajes y formas fisiográficas, en especial de aquellos que representan la diversidad única y distintiva del país.</w:t>
      </w:r>
    </w:p>
    <w:p w:rsidR="003C6308" w:rsidRPr="003C6308" w:rsidRDefault="003C6308" w:rsidP="003C6308">
      <w:pPr>
        <w:spacing w:after="0" w:line="312" w:lineRule="atLeast"/>
        <w:jc w:val="both"/>
        <w:rPr>
          <w:rFonts w:ascii="Times New Roman" w:eastAsia="Times New Roman" w:hAnsi="Times New Roman" w:cs="Times New Roman"/>
          <w:sz w:val="24"/>
          <w:szCs w:val="24"/>
          <w:shd w:val="clear" w:color="auto" w:fill="F3F4F6"/>
          <w:lang w:eastAsia="es-ES"/>
        </w:rPr>
      </w:pPr>
      <w:r w:rsidRPr="003C6308">
        <w:rPr>
          <w:rFonts w:ascii="Times New Roman" w:eastAsia="Times New Roman" w:hAnsi="Times New Roman" w:cs="Times New Roman"/>
          <w:sz w:val="24"/>
          <w:szCs w:val="24"/>
          <w:shd w:val="clear" w:color="auto" w:fill="F3F4F6"/>
          <w:lang w:eastAsia="es-ES"/>
        </w:rPr>
        <w:t> </w:t>
      </w:r>
      <w:r w:rsidRPr="003C6308">
        <w:rPr>
          <w:rFonts w:ascii="Arial" w:eastAsia="Times New Roman" w:hAnsi="Arial" w:cs="Arial"/>
          <w:sz w:val="20"/>
          <w:szCs w:val="20"/>
          <w:shd w:val="clear" w:color="auto" w:fill="F3F4F6"/>
          <w:lang w:eastAsia="es-ES"/>
        </w:rPr>
        <w:t>En el Perú se han establecido:</w:t>
      </w:r>
    </w:p>
    <w:p w:rsidR="003C6308" w:rsidRPr="003C6308" w:rsidRDefault="003C6308" w:rsidP="00E060E4">
      <w:pPr>
        <w:numPr>
          <w:ilvl w:val="0"/>
          <w:numId w:val="2"/>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 xml:space="preserve">76 ANP de administración nacional, que conforman el </w:t>
      </w:r>
      <w:proofErr w:type="spellStart"/>
      <w:r w:rsidR="00E060E4" w:rsidRPr="00E060E4">
        <w:rPr>
          <w:rFonts w:ascii="Arial" w:eastAsia="Times New Roman" w:hAnsi="Arial" w:cs="Arial"/>
          <w:sz w:val="20"/>
          <w:szCs w:val="20"/>
          <w:shd w:val="clear" w:color="auto" w:fill="F3F4F6"/>
          <w:lang w:eastAsia="es-ES"/>
        </w:rPr>
        <w:t>El</w:t>
      </w:r>
      <w:proofErr w:type="spellEnd"/>
      <w:r w:rsidR="00E060E4" w:rsidRPr="00E060E4">
        <w:rPr>
          <w:rFonts w:ascii="Arial" w:eastAsia="Times New Roman" w:hAnsi="Arial" w:cs="Arial"/>
          <w:sz w:val="20"/>
          <w:szCs w:val="20"/>
          <w:shd w:val="clear" w:color="auto" w:fill="F3F4F6"/>
          <w:lang w:eastAsia="es-ES"/>
        </w:rPr>
        <w:t xml:space="preserve"> Servicio Nacional de Áreas Naturales Protegidas por el Estado - SERNANP</w:t>
      </w:r>
      <w:r w:rsidRPr="003C6308">
        <w:rPr>
          <w:rFonts w:ascii="Arial" w:eastAsia="Times New Roman" w:hAnsi="Arial" w:cs="Arial"/>
          <w:sz w:val="20"/>
          <w:szCs w:val="20"/>
          <w:shd w:val="clear" w:color="auto" w:fill="F3F4F6"/>
          <w:lang w:eastAsia="es-ES"/>
        </w:rPr>
        <w:t>.</w:t>
      </w:r>
    </w:p>
    <w:p w:rsidR="003C6308" w:rsidRPr="003C6308" w:rsidRDefault="003C6308" w:rsidP="003C6308">
      <w:pPr>
        <w:numPr>
          <w:ilvl w:val="0"/>
          <w:numId w:val="2"/>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16 ANP de conservación regional.</w:t>
      </w:r>
    </w:p>
    <w:p w:rsidR="003C6308" w:rsidRPr="003C6308" w:rsidRDefault="003C6308" w:rsidP="003C6308">
      <w:pPr>
        <w:numPr>
          <w:ilvl w:val="0"/>
          <w:numId w:val="2"/>
        </w:numPr>
        <w:spacing w:after="0" w:line="312" w:lineRule="atLeast"/>
        <w:jc w:val="both"/>
        <w:rPr>
          <w:rFonts w:ascii="Arial" w:eastAsia="Times New Roman" w:hAnsi="Arial" w:cs="Arial"/>
          <w:sz w:val="20"/>
          <w:szCs w:val="20"/>
          <w:shd w:val="clear" w:color="auto" w:fill="F3F4F6"/>
          <w:lang w:eastAsia="es-ES"/>
        </w:rPr>
      </w:pPr>
      <w:r w:rsidRPr="003C6308">
        <w:rPr>
          <w:rFonts w:ascii="Arial" w:eastAsia="Times New Roman" w:hAnsi="Arial" w:cs="Arial"/>
          <w:sz w:val="20"/>
          <w:szCs w:val="20"/>
          <w:shd w:val="clear" w:color="auto" w:fill="F3F4F6"/>
          <w:lang w:eastAsia="es-ES"/>
        </w:rPr>
        <w:t>77 ANP de conservación privada.</w:t>
      </w:r>
    </w:p>
    <w:p w:rsidR="003C6308" w:rsidRPr="003C6308" w:rsidRDefault="003C6308" w:rsidP="003C6308">
      <w:pPr>
        <w:spacing w:after="0" w:line="312" w:lineRule="atLeast"/>
        <w:jc w:val="center"/>
        <w:rPr>
          <w:rFonts w:ascii="Arial" w:eastAsia="Times New Roman" w:hAnsi="Arial" w:cs="Arial"/>
          <w:b/>
          <w:sz w:val="20"/>
          <w:szCs w:val="20"/>
          <w:shd w:val="clear" w:color="auto" w:fill="F3F4F6"/>
          <w:lang w:eastAsia="es-ES"/>
        </w:rPr>
      </w:pPr>
    </w:p>
    <w:p w:rsidR="003C6308" w:rsidRPr="003C6308" w:rsidRDefault="003C6308" w:rsidP="003C6308">
      <w:pPr>
        <w:spacing w:after="0" w:line="312" w:lineRule="atLeast"/>
        <w:jc w:val="center"/>
        <w:rPr>
          <w:rFonts w:ascii="Arial" w:eastAsia="Times New Roman" w:hAnsi="Arial" w:cs="Arial"/>
          <w:b/>
          <w:sz w:val="20"/>
          <w:szCs w:val="20"/>
          <w:shd w:val="clear" w:color="auto" w:fill="F3F4F6"/>
          <w:lang w:eastAsia="es-ES"/>
        </w:rPr>
      </w:pPr>
      <w:r w:rsidRPr="003C6308">
        <w:rPr>
          <w:rFonts w:ascii="Arial" w:eastAsia="Times New Roman" w:hAnsi="Arial" w:cs="Arial"/>
          <w:b/>
          <w:sz w:val="20"/>
          <w:szCs w:val="20"/>
          <w:shd w:val="clear" w:color="auto" w:fill="F3F4F6"/>
          <w:lang w:eastAsia="es-ES"/>
        </w:rPr>
        <w:t>CATEGORIAS DE ANP EXISTENTES EN EL PERU Y QUE SON PARTE DEL PATRIMONIO NATURAL</w:t>
      </w:r>
    </w:p>
    <w:p w:rsidR="003C6308" w:rsidRPr="003C6308" w:rsidRDefault="003C6308" w:rsidP="003C6308">
      <w:pPr>
        <w:spacing w:after="0" w:line="312" w:lineRule="atLeast"/>
        <w:jc w:val="center"/>
        <w:rPr>
          <w:rFonts w:ascii="Arial" w:eastAsia="Times New Roman" w:hAnsi="Arial" w:cs="Arial"/>
          <w:b/>
          <w:sz w:val="20"/>
          <w:szCs w:val="20"/>
          <w:shd w:val="clear" w:color="auto" w:fill="F3F4F6"/>
          <w:lang w:eastAsia="es-ES"/>
        </w:rPr>
      </w:pPr>
    </w:p>
    <w:tbl>
      <w:tblPr>
        <w:tblW w:w="7050" w:type="dxa"/>
        <w:tblCellSpacing w:w="0" w:type="dxa"/>
        <w:tblInd w:w="1463" w:type="dxa"/>
        <w:tblCellMar>
          <w:left w:w="0" w:type="dxa"/>
          <w:right w:w="0" w:type="dxa"/>
        </w:tblCellMar>
        <w:tblLook w:val="04A0" w:firstRow="1" w:lastRow="0" w:firstColumn="1" w:lastColumn="0" w:noHBand="0" w:noVBand="1"/>
      </w:tblPr>
      <w:tblGrid>
        <w:gridCol w:w="3382"/>
        <w:gridCol w:w="568"/>
        <w:gridCol w:w="2275"/>
        <w:gridCol w:w="825"/>
      </w:tblGrid>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Categoría</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Nº</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Extensión (ha)</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PARQUE  NACIONAL</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13</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8 170 747.54</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6.20</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SANTUARIO NACIONAL</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9</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317 366.47</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0.25</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SANTUARIO HISTÓRICO</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4</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41 279.38</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0.03</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RESERVA NACIONAL</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15</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4 652 449.16</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3.62</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REFUGIO DE VIDA SILVESTRE</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3</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20775.11</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0.02</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BOSQUE DE PROTECCIÓN</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6</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389 986.99</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0.30</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RESERVA PAISAJÍSTICA</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2</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711 818.48</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0.55</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RESERVA COMUNAL</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10</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2 166 588.44</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1.38</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COTO DE CAZA</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2</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124 735.00</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0.10</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sz w:val="17"/>
                <w:szCs w:val="17"/>
                <w:lang w:eastAsia="es-ES"/>
              </w:rPr>
              <w:t>ZONA RESERVADA</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sz w:val="17"/>
                <w:szCs w:val="17"/>
                <w:lang w:eastAsia="es-ES"/>
              </w:rPr>
              <w:t>12</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0" w:line="240" w:lineRule="auto"/>
              <w:rPr>
                <w:rFonts w:ascii="Times New Roman" w:eastAsia="Times New Roman" w:hAnsi="Times New Roman" w:cs="Times New Roman"/>
                <w:sz w:val="24"/>
                <w:szCs w:val="24"/>
                <w:lang w:eastAsia="es-ES"/>
              </w:rPr>
            </w:pPr>
            <w:r w:rsidRPr="003C6308">
              <w:rPr>
                <w:rFonts w:ascii="Times New Roman" w:eastAsia="Times New Roman" w:hAnsi="Times New Roman" w:cs="Times New Roman"/>
                <w:sz w:val="24"/>
                <w:szCs w:val="24"/>
                <w:lang w:eastAsia="es-ES"/>
              </w:rPr>
              <w:t> </w:t>
            </w:r>
          </w:p>
          <w:p w:rsidR="003C6308" w:rsidRPr="003C6308" w:rsidRDefault="003C6308" w:rsidP="003C6308">
            <w:pPr>
              <w:spacing w:after="0"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2 921 997.54</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r w:rsidRPr="003C6308">
              <w:rPr>
                <w:rFonts w:ascii="Arial" w:eastAsia="Times New Roman" w:hAnsi="Arial" w:cs="Arial"/>
                <w:sz w:val="17"/>
                <w:szCs w:val="17"/>
                <w:lang w:eastAsia="es-ES"/>
              </w:rPr>
              <w:t>2.74</w:t>
            </w:r>
          </w:p>
        </w:tc>
      </w:tr>
      <w:tr w:rsidR="003C6308" w:rsidRPr="003C6308" w:rsidTr="00E060E4">
        <w:trPr>
          <w:tblCellSpacing w:w="0" w:type="dxa"/>
        </w:trPr>
        <w:tc>
          <w:tcPr>
            <w:tcW w:w="3382"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after="0" w:line="240" w:lineRule="auto"/>
              <w:rPr>
                <w:rFonts w:ascii="Arial" w:eastAsia="Times New Roman" w:hAnsi="Arial" w:cs="Arial"/>
                <w:sz w:val="17"/>
                <w:szCs w:val="17"/>
                <w:lang w:eastAsia="es-ES"/>
              </w:rPr>
            </w:pPr>
            <w:r w:rsidRPr="003C6308">
              <w:rPr>
                <w:rFonts w:ascii="Arial" w:eastAsia="Times New Roman" w:hAnsi="Arial" w:cs="Arial"/>
                <w:b/>
                <w:bCs/>
                <w:sz w:val="17"/>
                <w:szCs w:val="17"/>
                <w:lang w:eastAsia="es-ES"/>
              </w:rPr>
              <w:t>TOTAL</w:t>
            </w:r>
          </w:p>
        </w:tc>
        <w:tc>
          <w:tcPr>
            <w:tcW w:w="568"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center"/>
              <w:rPr>
                <w:rFonts w:ascii="Arial" w:eastAsia="Times New Roman" w:hAnsi="Arial" w:cs="Arial"/>
                <w:sz w:val="17"/>
                <w:szCs w:val="17"/>
                <w:lang w:eastAsia="es-ES"/>
              </w:rPr>
            </w:pPr>
            <w:r w:rsidRPr="003C6308">
              <w:rPr>
                <w:rFonts w:ascii="Arial" w:eastAsia="Times New Roman" w:hAnsi="Arial" w:cs="Arial"/>
                <w:b/>
                <w:bCs/>
                <w:sz w:val="17"/>
                <w:szCs w:val="17"/>
                <w:lang w:eastAsia="es-ES"/>
              </w:rPr>
              <w:t>76</w:t>
            </w:r>
          </w:p>
        </w:tc>
        <w:tc>
          <w:tcPr>
            <w:tcW w:w="227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b/>
                <w:bCs/>
                <w:sz w:val="17"/>
                <w:szCs w:val="17"/>
                <w:lang w:eastAsia="es-ES"/>
              </w:rPr>
            </w:pPr>
            <w:r w:rsidRPr="003C6308">
              <w:rPr>
                <w:rFonts w:ascii="Arial" w:eastAsia="Times New Roman" w:hAnsi="Arial" w:cs="Arial"/>
                <w:b/>
                <w:bCs/>
                <w:sz w:val="17"/>
                <w:szCs w:val="17"/>
                <w:lang w:eastAsia="es-ES"/>
              </w:rPr>
              <w:t>19 518 146.58</w:t>
            </w:r>
          </w:p>
        </w:tc>
        <w:tc>
          <w:tcPr>
            <w:tcW w:w="825" w:type="dxa"/>
            <w:tcBorders>
              <w:top w:val="single" w:sz="6" w:space="0" w:color="E6E6E6"/>
              <w:left w:val="single" w:sz="6" w:space="0" w:color="E6E6E6"/>
              <w:bottom w:val="single" w:sz="6" w:space="0" w:color="E6E6E6"/>
              <w:right w:val="single" w:sz="6" w:space="0" w:color="E6E6E6"/>
            </w:tcBorders>
            <w:shd w:val="clear" w:color="auto" w:fill="CCD6D8"/>
            <w:tcMar>
              <w:top w:w="45" w:type="dxa"/>
              <w:left w:w="75" w:type="dxa"/>
              <w:bottom w:w="45" w:type="dxa"/>
              <w:right w:w="0" w:type="dxa"/>
            </w:tcMar>
            <w:vAlign w:val="center"/>
            <w:hideMark/>
          </w:tcPr>
          <w:p w:rsidR="003C6308" w:rsidRPr="003C6308" w:rsidRDefault="003C6308" w:rsidP="003C6308">
            <w:pPr>
              <w:spacing w:before="100" w:beforeAutospacing="1" w:after="100" w:afterAutospacing="1" w:line="240" w:lineRule="auto"/>
              <w:jc w:val="right"/>
              <w:rPr>
                <w:rFonts w:ascii="Arial" w:eastAsia="Times New Roman" w:hAnsi="Arial" w:cs="Arial"/>
                <w:sz w:val="17"/>
                <w:szCs w:val="17"/>
                <w:lang w:eastAsia="es-ES"/>
              </w:rPr>
            </w:pPr>
          </w:p>
        </w:tc>
      </w:tr>
    </w:tbl>
    <w:p w:rsidR="003C6308" w:rsidRPr="003C6308" w:rsidRDefault="003C6308" w:rsidP="003C6308">
      <w:pPr>
        <w:spacing w:after="0" w:line="312" w:lineRule="atLeast"/>
        <w:jc w:val="both"/>
        <w:rPr>
          <w:rFonts w:ascii="Arial" w:eastAsia="Times New Roman" w:hAnsi="Arial" w:cs="Arial"/>
          <w:sz w:val="20"/>
          <w:szCs w:val="20"/>
          <w:shd w:val="clear" w:color="auto" w:fill="F3F4F6"/>
          <w:lang w:eastAsia="es-ES"/>
        </w:rPr>
      </w:pPr>
    </w:p>
    <w:sectPr w:rsidR="003C6308" w:rsidRPr="003C6308" w:rsidSect="003C6308">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0793"/>
    <w:multiLevelType w:val="multilevel"/>
    <w:tmpl w:val="7C9C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822FC"/>
    <w:multiLevelType w:val="multilevel"/>
    <w:tmpl w:val="A20C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08"/>
    <w:rsid w:val="003C6308"/>
    <w:rsid w:val="006826CD"/>
    <w:rsid w:val="00E060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uerpo">
    <w:name w:val="textocuerpo"/>
    <w:basedOn w:val="Normal"/>
    <w:rsid w:val="003C63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cuerponegrita">
    <w:name w:val="textocuerponegrita"/>
    <w:basedOn w:val="Fuentedeprrafopredeter"/>
    <w:rsid w:val="003C6308"/>
  </w:style>
  <w:style w:type="paragraph" w:styleId="NormalWeb">
    <w:name w:val="Normal (Web)"/>
    <w:basedOn w:val="Normal"/>
    <w:uiPriority w:val="99"/>
    <w:unhideWhenUsed/>
    <w:rsid w:val="003C63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C6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308"/>
    <w:rPr>
      <w:rFonts w:ascii="Tahoma" w:hAnsi="Tahoma" w:cs="Tahoma"/>
      <w:sz w:val="16"/>
      <w:szCs w:val="16"/>
    </w:rPr>
  </w:style>
  <w:style w:type="character" w:styleId="Textoennegrita">
    <w:name w:val="Strong"/>
    <w:basedOn w:val="Fuentedeprrafopredeter"/>
    <w:uiPriority w:val="22"/>
    <w:qFormat/>
    <w:rsid w:val="003C6308"/>
    <w:rPr>
      <w:b/>
      <w:bCs/>
    </w:rPr>
  </w:style>
  <w:style w:type="character" w:customStyle="1" w:styleId="apple-converted-space">
    <w:name w:val="apple-converted-space"/>
    <w:basedOn w:val="Fuentedeprrafopredeter"/>
    <w:rsid w:val="003C6308"/>
  </w:style>
  <w:style w:type="character" w:styleId="nfasis">
    <w:name w:val="Emphasis"/>
    <w:basedOn w:val="Fuentedeprrafopredeter"/>
    <w:uiPriority w:val="20"/>
    <w:qFormat/>
    <w:rsid w:val="003C6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uerpo">
    <w:name w:val="textocuerpo"/>
    <w:basedOn w:val="Normal"/>
    <w:rsid w:val="003C63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cuerponegrita">
    <w:name w:val="textocuerponegrita"/>
    <w:basedOn w:val="Fuentedeprrafopredeter"/>
    <w:rsid w:val="003C6308"/>
  </w:style>
  <w:style w:type="paragraph" w:styleId="NormalWeb">
    <w:name w:val="Normal (Web)"/>
    <w:basedOn w:val="Normal"/>
    <w:uiPriority w:val="99"/>
    <w:unhideWhenUsed/>
    <w:rsid w:val="003C63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C6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308"/>
    <w:rPr>
      <w:rFonts w:ascii="Tahoma" w:hAnsi="Tahoma" w:cs="Tahoma"/>
      <w:sz w:val="16"/>
      <w:szCs w:val="16"/>
    </w:rPr>
  </w:style>
  <w:style w:type="character" w:styleId="Textoennegrita">
    <w:name w:val="Strong"/>
    <w:basedOn w:val="Fuentedeprrafopredeter"/>
    <w:uiPriority w:val="22"/>
    <w:qFormat/>
    <w:rsid w:val="003C6308"/>
    <w:rPr>
      <w:b/>
      <w:bCs/>
    </w:rPr>
  </w:style>
  <w:style w:type="character" w:customStyle="1" w:styleId="apple-converted-space">
    <w:name w:val="apple-converted-space"/>
    <w:basedOn w:val="Fuentedeprrafopredeter"/>
    <w:rsid w:val="003C6308"/>
  </w:style>
  <w:style w:type="character" w:styleId="nfasis">
    <w:name w:val="Emphasis"/>
    <w:basedOn w:val="Fuentedeprrafopredeter"/>
    <w:uiPriority w:val="20"/>
    <w:qFormat/>
    <w:rsid w:val="003C6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7997">
      <w:bodyDiv w:val="1"/>
      <w:marLeft w:val="0"/>
      <w:marRight w:val="0"/>
      <w:marTop w:val="0"/>
      <w:marBottom w:val="0"/>
      <w:divBdr>
        <w:top w:val="none" w:sz="0" w:space="0" w:color="auto"/>
        <w:left w:val="none" w:sz="0" w:space="0" w:color="auto"/>
        <w:bottom w:val="none" w:sz="0" w:space="0" w:color="auto"/>
        <w:right w:val="none" w:sz="0" w:space="0" w:color="auto"/>
      </w:divBdr>
    </w:div>
    <w:div w:id="780690385">
      <w:bodyDiv w:val="1"/>
      <w:marLeft w:val="0"/>
      <w:marRight w:val="0"/>
      <w:marTop w:val="0"/>
      <w:marBottom w:val="0"/>
      <w:divBdr>
        <w:top w:val="none" w:sz="0" w:space="0" w:color="auto"/>
        <w:left w:val="none" w:sz="0" w:space="0" w:color="auto"/>
        <w:bottom w:val="none" w:sz="0" w:space="0" w:color="auto"/>
        <w:right w:val="none" w:sz="0" w:space="0" w:color="auto"/>
      </w:divBdr>
    </w:div>
    <w:div w:id="1155225468">
      <w:bodyDiv w:val="1"/>
      <w:marLeft w:val="0"/>
      <w:marRight w:val="0"/>
      <w:marTop w:val="0"/>
      <w:marBottom w:val="0"/>
      <w:divBdr>
        <w:top w:val="none" w:sz="0" w:space="0" w:color="auto"/>
        <w:left w:val="none" w:sz="0" w:space="0" w:color="auto"/>
        <w:bottom w:val="none" w:sz="0" w:space="0" w:color="auto"/>
        <w:right w:val="none" w:sz="0" w:space="0" w:color="auto"/>
      </w:divBdr>
    </w:div>
    <w:div w:id="18263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nanp.gob.pe/sernanp/baselegal.jsp?ID=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dcterms:created xsi:type="dcterms:W3CDTF">2015-04-09T23:06:00Z</dcterms:created>
  <dcterms:modified xsi:type="dcterms:W3CDTF">2015-04-09T23:20:00Z</dcterms:modified>
</cp:coreProperties>
</file>