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CB" w:rsidRPr="00A370B8" w:rsidRDefault="00A370B8" w:rsidP="00A370B8">
      <w:pPr>
        <w:pStyle w:val="Ttulo2"/>
        <w:shd w:val="clear" w:color="auto" w:fill="FFFFFF"/>
        <w:spacing w:before="0" w:beforeAutospacing="0" w:after="0" w:afterAutospacing="0" w:line="288" w:lineRule="atLeast"/>
        <w:jc w:val="center"/>
        <w:rPr>
          <w:rFonts w:ascii="Trebuchet MS" w:hAnsi="Trebuchet MS"/>
          <w:b w:val="0"/>
          <w:bCs w:val="0"/>
          <w:color w:val="0F243E" w:themeColor="text2" w:themeShade="80"/>
          <w:sz w:val="28"/>
          <w:szCs w:val="28"/>
          <w:u w:val="single"/>
        </w:rPr>
      </w:pPr>
      <w:r w:rsidRPr="00A370B8">
        <w:rPr>
          <w:rFonts w:ascii="Trebuchet MS" w:hAnsi="Trebuchet MS"/>
          <w:b w:val="0"/>
          <w:bCs w:val="0"/>
          <w:color w:val="0F243E" w:themeColor="text2" w:themeShade="80"/>
          <w:sz w:val="28"/>
          <w:szCs w:val="28"/>
          <w:u w:val="single"/>
        </w:rPr>
        <w:t>TRIBUTACIÓN, TRIBUTOS, IMPUESTOS Y TASAS EN EL PERÚ</w:t>
      </w:r>
    </w:p>
    <w:p w:rsidR="00A370B8" w:rsidRPr="00A370B8" w:rsidRDefault="008315E6" w:rsidP="00A370B8">
      <w:pPr>
        <w:pStyle w:val="Ttulo2"/>
        <w:shd w:val="clear" w:color="auto" w:fill="FFFFFF"/>
        <w:spacing w:before="0" w:beforeAutospacing="0" w:after="0" w:afterAutospacing="0" w:line="288" w:lineRule="atLeast"/>
        <w:jc w:val="center"/>
        <w:rPr>
          <w:rFonts w:ascii="Trebuchet MS" w:hAnsi="Trebuchet MS"/>
          <w:b w:val="0"/>
          <w:bCs w:val="0"/>
          <w:color w:val="006699"/>
          <w:sz w:val="32"/>
          <w:szCs w:val="32"/>
        </w:rPr>
      </w:pPr>
      <w:r>
        <w:rPr>
          <w:rFonts w:ascii="Trebuchet MS" w:hAnsi="Trebuchet MS"/>
          <w:b w:val="0"/>
          <w:bCs w:val="0"/>
          <w:color w:val="0F243E" w:themeColor="text2" w:themeShade="80"/>
          <w:sz w:val="28"/>
          <w:szCs w:val="28"/>
          <w:u w:val="single"/>
        </w:rPr>
        <w:t>5</w:t>
      </w:r>
      <w:r w:rsidR="00A370B8" w:rsidRPr="00A370B8">
        <w:rPr>
          <w:rFonts w:ascii="Trebuchet MS" w:hAnsi="Trebuchet MS"/>
          <w:b w:val="0"/>
          <w:bCs w:val="0"/>
          <w:color w:val="0F243E" w:themeColor="text2" w:themeShade="80"/>
          <w:sz w:val="28"/>
          <w:szCs w:val="28"/>
          <w:u w:val="single"/>
        </w:rPr>
        <w:t>º DE SECUNDARIA FORMACION CIUDADANA Y CÍVICA</w:t>
      </w:r>
    </w:p>
    <w:p w:rsidR="00A370B8" w:rsidRDefault="00A370B8" w:rsidP="00A370B8">
      <w:pPr>
        <w:spacing w:after="0" w:line="240" w:lineRule="auto"/>
        <w:jc w:val="both"/>
      </w:pPr>
    </w:p>
    <w:p w:rsidR="003427CB" w:rsidRPr="003427CB" w:rsidRDefault="003427CB" w:rsidP="00A370B8">
      <w:pPr>
        <w:spacing w:after="0" w:line="240" w:lineRule="auto"/>
        <w:jc w:val="both"/>
      </w:pPr>
      <w:r w:rsidRPr="003427CB">
        <w:t>La tributación en el Perú se rige por los principios de reserva de la ley y los de igualdad y respeto de los derechos fundamentales de la persona. La Constituci</w:t>
      </w:r>
      <w:bookmarkStart w:id="0" w:name="_GoBack"/>
      <w:bookmarkEnd w:id="0"/>
      <w:r w:rsidRPr="003427CB">
        <w:t xml:space="preserve">ón consagra como principio de tributación la no </w:t>
      </w:r>
      <w:proofErr w:type="spellStart"/>
      <w:r w:rsidRPr="003427CB">
        <w:t>confiscatoriedad</w:t>
      </w:r>
      <w:proofErr w:type="spellEnd"/>
      <w:r w:rsidRPr="003427CB">
        <w:t xml:space="preserve"> en la imposición. Los aranceles de aduanas y las tasas por la prestación de servicios públicos administrativos se fijan por Decreto Supremo expedido por el Poder Ejecutivo.</w:t>
      </w:r>
    </w:p>
    <w:p w:rsidR="003427CB" w:rsidRPr="003427CB" w:rsidRDefault="003427CB" w:rsidP="00A370B8">
      <w:pPr>
        <w:spacing w:after="0" w:line="240" w:lineRule="auto"/>
        <w:jc w:val="both"/>
      </w:pPr>
      <w:r w:rsidRPr="003427CB">
        <w:t>Para la aplicación de las normas tributarias podrán utilizarse todos los métodos de interpretación admitidos en el derecho. Se prohíbe la aplicación de la analogía. La Superintendencia Nacional de Aduanas y de Administración Tributaria (SUNAT) podrá observar la intención económica de los actos de los contribuyentes para determinar la verdadera motivación de dichos actos, dándose preferencia al contenido antes que a la forma de los actos jurídico-tributarios.</w:t>
      </w:r>
    </w:p>
    <w:p w:rsidR="003427CB" w:rsidRPr="00A370B8" w:rsidRDefault="003427CB" w:rsidP="003427CB">
      <w:pPr>
        <w:spacing w:after="0"/>
        <w:rPr>
          <w:b/>
          <w:bCs/>
          <w:sz w:val="16"/>
          <w:szCs w:val="16"/>
        </w:rPr>
      </w:pPr>
    </w:p>
    <w:p w:rsidR="003427CB" w:rsidRPr="003427CB" w:rsidRDefault="003427CB" w:rsidP="003427CB">
      <w:pPr>
        <w:spacing w:after="0"/>
      </w:pPr>
      <w:r w:rsidRPr="003427CB">
        <w:rPr>
          <w:b/>
          <w:bCs/>
        </w:rPr>
        <w:t>SISTEMA TRIBUTARIO NACIONAL</w:t>
      </w:r>
      <w:r w:rsidRPr="003427CB">
        <w:t>: El sistema tributario comprende:</w:t>
      </w:r>
    </w:p>
    <w:tbl>
      <w:tblPr>
        <w:tblW w:w="0" w:type="auto"/>
        <w:tblCellSpacing w:w="0"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560"/>
        <w:gridCol w:w="2551"/>
        <w:gridCol w:w="6237"/>
      </w:tblGrid>
      <w:tr w:rsidR="003427CB" w:rsidRPr="003427CB" w:rsidTr="00724399">
        <w:trPr>
          <w:tblCellSpacing w:w="0" w:type="dxa"/>
        </w:trPr>
        <w:tc>
          <w:tcPr>
            <w:tcW w:w="1560" w:type="dxa"/>
            <w:shd w:val="clear" w:color="auto" w:fill="FFFFFF"/>
            <w:hideMark/>
          </w:tcPr>
          <w:p w:rsidR="00DE7E6E" w:rsidRPr="003427CB" w:rsidRDefault="003427CB" w:rsidP="003427CB">
            <w:pPr>
              <w:rPr>
                <w:sz w:val="20"/>
                <w:szCs w:val="20"/>
              </w:rPr>
            </w:pPr>
            <w:r w:rsidRPr="003427CB">
              <w:rPr>
                <w:b/>
                <w:bCs/>
                <w:sz w:val="20"/>
                <w:szCs w:val="20"/>
              </w:rPr>
              <w:t> </w:t>
            </w:r>
          </w:p>
        </w:tc>
        <w:tc>
          <w:tcPr>
            <w:tcW w:w="2551" w:type="dxa"/>
            <w:shd w:val="clear" w:color="auto" w:fill="FFFFFF"/>
            <w:vAlign w:val="center"/>
            <w:hideMark/>
          </w:tcPr>
          <w:p w:rsidR="00DE7E6E" w:rsidRPr="00724399" w:rsidRDefault="003427CB" w:rsidP="00724399">
            <w:pPr>
              <w:jc w:val="center"/>
              <w:rPr>
                <w:b/>
                <w:i/>
                <w:sz w:val="20"/>
                <w:szCs w:val="20"/>
              </w:rPr>
            </w:pPr>
            <w:r w:rsidRPr="00724399">
              <w:rPr>
                <w:b/>
                <w:bCs/>
                <w:i/>
                <w:sz w:val="20"/>
                <w:szCs w:val="20"/>
              </w:rPr>
              <w:t>TRIBUTO</w:t>
            </w:r>
          </w:p>
        </w:tc>
        <w:tc>
          <w:tcPr>
            <w:tcW w:w="6237" w:type="dxa"/>
            <w:shd w:val="clear" w:color="auto" w:fill="FFFFFF"/>
            <w:hideMark/>
          </w:tcPr>
          <w:p w:rsidR="00DE7E6E" w:rsidRPr="003427CB" w:rsidRDefault="003427CB" w:rsidP="003427CB">
            <w:pPr>
              <w:rPr>
                <w:sz w:val="20"/>
                <w:szCs w:val="20"/>
              </w:rPr>
            </w:pPr>
            <w:r w:rsidRPr="003427CB">
              <w:rPr>
                <w:b/>
                <w:bCs/>
                <w:sz w:val="20"/>
                <w:szCs w:val="20"/>
              </w:rPr>
              <w:t>TASAS</w:t>
            </w:r>
          </w:p>
        </w:tc>
      </w:tr>
      <w:tr w:rsidR="003427CB" w:rsidRPr="003427CB" w:rsidTr="00724399">
        <w:trPr>
          <w:tblCellSpacing w:w="0" w:type="dxa"/>
        </w:trPr>
        <w:tc>
          <w:tcPr>
            <w:tcW w:w="1560" w:type="dxa"/>
            <w:shd w:val="clear" w:color="auto" w:fill="FFFFFF"/>
            <w:vAlign w:val="center"/>
            <w:hideMark/>
          </w:tcPr>
          <w:p w:rsidR="003427CB" w:rsidRPr="003427CB" w:rsidRDefault="003427CB" w:rsidP="003427CB">
            <w:pPr>
              <w:rPr>
                <w:sz w:val="20"/>
                <w:szCs w:val="20"/>
              </w:rPr>
            </w:pPr>
            <w:r w:rsidRPr="003427CB">
              <w:rPr>
                <w:sz w:val="20"/>
                <w:szCs w:val="20"/>
              </w:rPr>
              <w:t>EL CÓDIGO TRIBUTARIO</w:t>
            </w:r>
          </w:p>
        </w:tc>
        <w:tc>
          <w:tcPr>
            <w:tcW w:w="2551" w:type="dxa"/>
            <w:shd w:val="clear" w:color="auto" w:fill="FFFFFF"/>
            <w:vAlign w:val="center"/>
            <w:hideMark/>
          </w:tcPr>
          <w:p w:rsidR="003427CB" w:rsidRPr="00724399" w:rsidRDefault="003427CB" w:rsidP="00724399">
            <w:pPr>
              <w:jc w:val="center"/>
              <w:rPr>
                <w:b/>
                <w:i/>
                <w:sz w:val="20"/>
                <w:szCs w:val="20"/>
              </w:rPr>
            </w:pPr>
          </w:p>
        </w:tc>
        <w:tc>
          <w:tcPr>
            <w:tcW w:w="6237" w:type="dxa"/>
            <w:shd w:val="clear" w:color="auto" w:fill="FFFFFF"/>
            <w:hideMark/>
          </w:tcPr>
          <w:p w:rsidR="003427CB" w:rsidRPr="003427CB" w:rsidRDefault="003427CB" w:rsidP="003427CB">
            <w:pPr>
              <w:rPr>
                <w:sz w:val="20"/>
                <w:szCs w:val="20"/>
              </w:rPr>
            </w:pPr>
          </w:p>
        </w:tc>
      </w:tr>
      <w:tr w:rsidR="003427CB" w:rsidRPr="003427CB" w:rsidTr="00724399">
        <w:trPr>
          <w:tblCellSpacing w:w="0" w:type="dxa"/>
        </w:trPr>
        <w:tc>
          <w:tcPr>
            <w:tcW w:w="1560" w:type="dxa"/>
            <w:vMerge w:val="restart"/>
            <w:shd w:val="clear" w:color="auto" w:fill="FFFFFF"/>
            <w:vAlign w:val="center"/>
            <w:hideMark/>
          </w:tcPr>
          <w:p w:rsidR="003427CB" w:rsidRPr="00724399" w:rsidRDefault="003427CB" w:rsidP="003427CB">
            <w:pPr>
              <w:spacing w:line="240" w:lineRule="auto"/>
              <w:rPr>
                <w:b/>
                <w:i/>
              </w:rPr>
            </w:pPr>
            <w:r w:rsidRPr="00724399">
              <w:rPr>
                <w:b/>
                <w:i/>
              </w:rPr>
              <w:t>LOS TRIBUTOS Y RECURSOS DEL GOBIERNO CENTRAL</w:t>
            </w:r>
          </w:p>
        </w:tc>
        <w:tc>
          <w:tcPr>
            <w:tcW w:w="2551" w:type="dxa"/>
            <w:vMerge w:val="restart"/>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LA RENTA</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Personas Jurídicas: 30%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vMerge/>
            <w:shd w:val="clear" w:color="auto" w:fill="FFFFFF"/>
            <w:vAlign w:val="center"/>
            <w:hideMark/>
          </w:tcPr>
          <w:p w:rsidR="003427CB" w:rsidRPr="00724399" w:rsidRDefault="003427CB" w:rsidP="00724399">
            <w:pPr>
              <w:spacing w:line="240" w:lineRule="auto"/>
              <w:jc w:val="center"/>
              <w:rPr>
                <w:b/>
                <w:i/>
                <w:sz w:val="20"/>
                <w:szCs w:val="20"/>
              </w:rPr>
            </w:pP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Persona natural: Rentas de capital – primera categoría (arrendamiento de predios, arrendamiento o cesión temporal de bienes muebles o inmuebles distintos de predios, etc.): 6.25%.</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vMerge/>
            <w:shd w:val="clear" w:color="auto" w:fill="FFFFFF"/>
            <w:vAlign w:val="center"/>
            <w:hideMark/>
          </w:tcPr>
          <w:p w:rsidR="003427CB" w:rsidRPr="00724399" w:rsidRDefault="003427CB" w:rsidP="00724399">
            <w:pPr>
              <w:spacing w:line="240" w:lineRule="auto"/>
              <w:jc w:val="center"/>
              <w:rPr>
                <w:b/>
                <w:i/>
                <w:sz w:val="20"/>
                <w:szCs w:val="20"/>
              </w:rPr>
            </w:pP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Persona natural: Rentas de capital – segunda categoría (ganancias de capital originadas por la enajenación de acciones o participaciones representativas del capital, etc.): 6.25%.</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vMerge/>
            <w:shd w:val="clear" w:color="auto" w:fill="FFFFFF"/>
            <w:vAlign w:val="center"/>
            <w:hideMark/>
          </w:tcPr>
          <w:p w:rsidR="003427CB" w:rsidRPr="00724399" w:rsidRDefault="003427CB" w:rsidP="00724399">
            <w:pPr>
              <w:spacing w:line="240" w:lineRule="auto"/>
              <w:jc w:val="center"/>
              <w:rPr>
                <w:b/>
                <w:i/>
                <w:sz w:val="20"/>
                <w:szCs w:val="20"/>
              </w:rPr>
            </w:pP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Persona natural: Rentas del trabajo y de fuente extranjera: tributan con tasas progresivas acumulativas de 15%, 21% y 30%.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GENERAL A LAS VENTAS (IGV)</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18%</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SELECTIVO AL CONSUMO</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Las tasas fluctúan entre 0% y 50%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DERECHOS ARANCELARIOS</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0%, 6%, 11%</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LAS TRANSACCIONES FINANCIERAS (ITF)</w:t>
            </w: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0,005% del valor de la operación.</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TEMPORAL A LOS ACTIVOS NETOS (ITAN)</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0.4%, que se calcula  sobre la base del valor histórico de los activos netos de la empresa que exceda S/. 1.000.000.00.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EXTRAORDINARIO PARA LA PROMOCIÓN Y DESARROLLO TURÍSTICO NACIONAL</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Grava la entrada al territorio nacional de personas naturales, nacionales o extranjeras, domiciliadas o no en el Perú, que ingresen voluntariamente al territorio nacional empleando medios de transporte aéreo de tráfico internacional regular y no regular: US$ 15.00.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ESPECIAL A LA MINERÍA (IEM)</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Se determina trimestralmente, aplicando sobre la utilidad operativa trimestral de los sujetos de la actividad minera, la tasa efectiva conforme a lo señalado en la ley. Esta tasa es establecida en función al margen operativo del trimestre. Las tasas marginales van desde 2% a 8.40%.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REGALÍAS MINERAS (RM)</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Se determina trimestralmente, aplicando sobre la utilidad operativa trimestral de los sujetos de la actividad minera, la tasa efectiva señalada en la ley. Esta tasa es establecida en función al margen operativo del trimestre. Las tasas marginales van desde 1% a 12%.</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GRAVAMEN ESPECIAL A LA MINERÍA (GEM)</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Se determina sobre la base de aplicar a la utilidad operativa trimestral, la tasa efectiva establecida en función al margen operativo, de acuerdo a la fórmula matemática y la escala progresiva acumulativa establecida en la ley. Las tasas marginales van desde 4% a 13.12%.</w:t>
            </w:r>
          </w:p>
        </w:tc>
      </w:tr>
      <w:tr w:rsidR="003427CB" w:rsidRPr="003427CB" w:rsidTr="00724399">
        <w:trPr>
          <w:tblCellSpacing w:w="0" w:type="dxa"/>
        </w:trPr>
        <w:tc>
          <w:tcPr>
            <w:tcW w:w="1560" w:type="dxa"/>
            <w:vMerge w:val="restart"/>
            <w:shd w:val="clear" w:color="auto" w:fill="FFFFFF"/>
            <w:vAlign w:val="center"/>
            <w:hideMark/>
          </w:tcPr>
          <w:p w:rsidR="003427CB" w:rsidRPr="00724399" w:rsidRDefault="003427CB" w:rsidP="003427CB">
            <w:pPr>
              <w:spacing w:line="240" w:lineRule="auto"/>
              <w:rPr>
                <w:b/>
                <w:i/>
              </w:rPr>
            </w:pPr>
            <w:r w:rsidRPr="00724399">
              <w:rPr>
                <w:b/>
                <w:i/>
              </w:rPr>
              <w:t>LOS TRIBUTOS PARA LOS GOBIERNOS LOCALES</w:t>
            </w: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DE ALCABALA</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Grava las transferencias de propiedad de bienes inmuebles urbanos o rústicos a título oneroso o gratuito. El impuesto se calcula aplicando a la base imponible una tasa del 3%, siendo de cargo exclusivo del comprador. No está afecto al impuesto el tramo comprendido por las primeras 10 UIT del valor del inmueble.</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PREDIAL</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 xml:space="preserve">Se calcula aplicando al valor de </w:t>
            </w:r>
            <w:proofErr w:type="spellStart"/>
            <w:r w:rsidRPr="003427CB">
              <w:rPr>
                <w:sz w:val="20"/>
                <w:szCs w:val="20"/>
              </w:rPr>
              <w:t>autovalúo</w:t>
            </w:r>
            <w:proofErr w:type="spellEnd"/>
            <w:r w:rsidRPr="003427CB">
              <w:rPr>
                <w:sz w:val="20"/>
                <w:szCs w:val="20"/>
              </w:rPr>
              <w:t>, del total de los predios del contribuyente ubicados en cada distrito, la siguiente escala progresiva acumulativa: (i) hasta 15 UIT: 0.2%; (ii) más de 15 UIT y hasta 60 UIT: 0.6%; y, (iii) más de 60 UIT: 1.0%.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AL PATRIMONIO VEHICULAR</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La tasa del impuesto es el 1% de la base imponible y debe ser pagado durante 3 años.</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LAS EMBARCACIONES DE RECREO</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La tasa del impuesto es 5% de la base imponible.</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LOS ESPECTÁCULOS PÚBLICOS NO DEPORTIVOS</w:t>
            </w: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Las tasas van desde 0% a 15%.</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vMerge w:val="restart"/>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LOS JUEGOS DE AZAR Y APUESTAS</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 xml:space="preserve">Bingo, rifa, sorteos, </w:t>
            </w:r>
            <w:proofErr w:type="spellStart"/>
            <w:r w:rsidRPr="003427CB">
              <w:rPr>
                <w:sz w:val="20"/>
                <w:szCs w:val="20"/>
              </w:rPr>
              <w:t>pinball</w:t>
            </w:r>
            <w:proofErr w:type="spellEnd"/>
            <w:r w:rsidRPr="003427CB">
              <w:rPr>
                <w:sz w:val="20"/>
                <w:szCs w:val="20"/>
              </w:rPr>
              <w:t>, juegos de video, juegos electrónicos, lotería y otros juegos de azar: 10%.</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vMerge/>
            <w:shd w:val="clear" w:color="auto" w:fill="FFFFFF"/>
            <w:vAlign w:val="center"/>
            <w:hideMark/>
          </w:tcPr>
          <w:p w:rsidR="003427CB" w:rsidRPr="00724399" w:rsidRDefault="003427CB" w:rsidP="00724399">
            <w:pPr>
              <w:spacing w:line="240" w:lineRule="auto"/>
              <w:jc w:val="center"/>
              <w:rPr>
                <w:b/>
                <w:i/>
                <w:sz w:val="20"/>
                <w:szCs w:val="20"/>
              </w:rPr>
            </w:pP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Eventos hípicos y similares: 2%.</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IMPUESTO A LOS JUEGOS DE CASINO, MÁQUINAS TRAGAMONEDAS Y OTROS APARATOS ELECTRÓNICOS</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El impuesto es de periodicidad mensual y la alícuota es del 12% de la base imponible.</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ARBITRIOS DE LIMPIEZA PÚBLICA, PARQUES, JARDINES, RELLENO SANITARIO, SEGURIDAD CIUDADANA</w:t>
            </w: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Se aplican diversas tasas, dependiendo del servicio y de cada municipalidad.</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LICENCIAS DE ANUNCIOS Y PUBLICIDAD</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Entre 2.80% y 22% de la UIT</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LICENCIA DE EDIFICACIÓN</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El pago por derecho de licencia puede ser hasta el 1.7% del valor de la obra. Cada municipalidad aplica una tasa diferente.</w:t>
            </w:r>
          </w:p>
        </w:tc>
      </w:tr>
      <w:tr w:rsidR="003427CB" w:rsidRPr="003427CB" w:rsidTr="00724399">
        <w:trPr>
          <w:tblCellSpacing w:w="0" w:type="dxa"/>
        </w:trPr>
        <w:tc>
          <w:tcPr>
            <w:tcW w:w="1560" w:type="dxa"/>
            <w:vMerge/>
            <w:shd w:val="clear" w:color="auto" w:fill="FFFFFF"/>
            <w:vAlign w:val="center"/>
            <w:hideMark/>
          </w:tcPr>
          <w:p w:rsidR="003427CB" w:rsidRPr="00724399" w:rsidRDefault="003427CB" w:rsidP="003427CB">
            <w:pPr>
              <w:spacing w:line="240" w:lineRule="auto"/>
              <w:rPr>
                <w:b/>
                <w:i/>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LICENCIA DE FUNCIONAMIENTO</w:t>
            </w: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Cada municipalidad aplica una tasa diferente.</w:t>
            </w:r>
          </w:p>
        </w:tc>
      </w:tr>
      <w:tr w:rsidR="003427CB" w:rsidRPr="003427CB" w:rsidTr="00724399">
        <w:trPr>
          <w:tblCellSpacing w:w="0" w:type="dxa"/>
        </w:trPr>
        <w:tc>
          <w:tcPr>
            <w:tcW w:w="1560" w:type="dxa"/>
            <w:vMerge w:val="restart"/>
            <w:shd w:val="clear" w:color="auto" w:fill="FFFFFF"/>
            <w:vAlign w:val="center"/>
            <w:hideMark/>
          </w:tcPr>
          <w:p w:rsidR="003427CB" w:rsidRPr="00724399" w:rsidRDefault="003427CB" w:rsidP="003427CB">
            <w:pPr>
              <w:spacing w:line="240" w:lineRule="auto"/>
              <w:rPr>
                <w:b/>
                <w:i/>
              </w:rPr>
            </w:pPr>
            <w:r w:rsidRPr="00724399">
              <w:rPr>
                <w:b/>
                <w:i/>
              </w:rPr>
              <w:t>LOS TRIBUTOS PARA OTROS FINES</w:t>
            </w:r>
          </w:p>
        </w:tc>
        <w:tc>
          <w:tcPr>
            <w:tcW w:w="2551" w:type="dxa"/>
            <w:vMerge w:val="restart"/>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CONTRIBUCIÓN DE SEGURIDAD SOCIAL</w:t>
            </w: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ESSALUD: 9% de la remuneración</w:t>
            </w:r>
          </w:p>
        </w:tc>
      </w:tr>
      <w:tr w:rsidR="003427CB" w:rsidRPr="003427CB" w:rsidTr="00724399">
        <w:trPr>
          <w:tblCellSpacing w:w="0" w:type="dxa"/>
        </w:trPr>
        <w:tc>
          <w:tcPr>
            <w:tcW w:w="1560" w:type="dxa"/>
            <w:vMerge/>
            <w:shd w:val="clear" w:color="auto" w:fill="FFFFFF"/>
            <w:vAlign w:val="center"/>
            <w:hideMark/>
          </w:tcPr>
          <w:p w:rsidR="003427CB" w:rsidRPr="003427CB" w:rsidRDefault="003427CB" w:rsidP="003427CB">
            <w:pPr>
              <w:spacing w:line="240" w:lineRule="auto"/>
              <w:rPr>
                <w:sz w:val="20"/>
                <w:szCs w:val="20"/>
              </w:rPr>
            </w:pPr>
          </w:p>
        </w:tc>
        <w:tc>
          <w:tcPr>
            <w:tcW w:w="2551" w:type="dxa"/>
            <w:vMerge/>
            <w:shd w:val="clear" w:color="auto" w:fill="FFFFFF"/>
            <w:vAlign w:val="center"/>
            <w:hideMark/>
          </w:tcPr>
          <w:p w:rsidR="003427CB" w:rsidRPr="00724399" w:rsidRDefault="003427CB" w:rsidP="00724399">
            <w:pPr>
              <w:spacing w:line="240" w:lineRule="auto"/>
              <w:jc w:val="center"/>
              <w:rPr>
                <w:b/>
                <w:i/>
                <w:sz w:val="20"/>
                <w:szCs w:val="20"/>
              </w:rPr>
            </w:pPr>
          </w:p>
        </w:tc>
        <w:tc>
          <w:tcPr>
            <w:tcW w:w="6237" w:type="dxa"/>
            <w:shd w:val="clear" w:color="auto" w:fill="FFFFFF"/>
            <w:vAlign w:val="center"/>
            <w:hideMark/>
          </w:tcPr>
          <w:p w:rsidR="003427CB" w:rsidRPr="003427CB" w:rsidRDefault="003427CB" w:rsidP="003427CB">
            <w:pPr>
              <w:spacing w:line="240" w:lineRule="auto"/>
              <w:rPr>
                <w:sz w:val="20"/>
                <w:szCs w:val="20"/>
              </w:rPr>
            </w:pPr>
            <w:r w:rsidRPr="003427CB">
              <w:rPr>
                <w:sz w:val="20"/>
                <w:szCs w:val="20"/>
              </w:rPr>
              <w:t>ONP: 13% de la remuneración</w:t>
            </w:r>
          </w:p>
        </w:tc>
      </w:tr>
      <w:tr w:rsidR="003427CB" w:rsidRPr="003427CB" w:rsidTr="00724399">
        <w:trPr>
          <w:tblCellSpacing w:w="0" w:type="dxa"/>
        </w:trPr>
        <w:tc>
          <w:tcPr>
            <w:tcW w:w="1560" w:type="dxa"/>
            <w:vMerge/>
            <w:shd w:val="clear" w:color="auto" w:fill="FFFFFF"/>
            <w:vAlign w:val="center"/>
            <w:hideMark/>
          </w:tcPr>
          <w:p w:rsidR="003427CB" w:rsidRPr="003427CB" w:rsidRDefault="003427CB" w:rsidP="003427CB">
            <w:pPr>
              <w:spacing w:line="240" w:lineRule="auto"/>
              <w:rPr>
                <w:sz w:val="20"/>
                <w:szCs w:val="20"/>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CONTRIBUCIÓN AL SENATI</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0.75% y se aplica sobre el total de las remuneraciones de los trabajadores que laboren en las actividades gravadas. Sólo estarán sujetas al pago aquellas empresas que en el año anterior hayan tenido un promedio superior a 20 trabajadores.</w:t>
            </w:r>
          </w:p>
        </w:tc>
      </w:tr>
      <w:tr w:rsidR="003427CB" w:rsidRPr="003427CB" w:rsidTr="00724399">
        <w:trPr>
          <w:tblCellSpacing w:w="0" w:type="dxa"/>
        </w:trPr>
        <w:tc>
          <w:tcPr>
            <w:tcW w:w="1560" w:type="dxa"/>
            <w:vMerge/>
            <w:shd w:val="clear" w:color="auto" w:fill="FFFFFF"/>
            <w:vAlign w:val="center"/>
            <w:hideMark/>
          </w:tcPr>
          <w:p w:rsidR="003427CB" w:rsidRPr="003427CB" w:rsidRDefault="003427CB" w:rsidP="003427CB">
            <w:pPr>
              <w:spacing w:line="240" w:lineRule="auto"/>
              <w:rPr>
                <w:sz w:val="20"/>
                <w:szCs w:val="20"/>
              </w:rPr>
            </w:pPr>
          </w:p>
        </w:tc>
        <w:tc>
          <w:tcPr>
            <w:tcW w:w="2551" w:type="dxa"/>
            <w:shd w:val="clear" w:color="auto" w:fill="FFFFFF"/>
            <w:vAlign w:val="center"/>
            <w:hideMark/>
          </w:tcPr>
          <w:p w:rsidR="003427CB" w:rsidRPr="00724399" w:rsidRDefault="003427CB" w:rsidP="00724399">
            <w:pPr>
              <w:spacing w:line="240" w:lineRule="auto"/>
              <w:jc w:val="center"/>
              <w:rPr>
                <w:b/>
                <w:i/>
                <w:sz w:val="20"/>
                <w:szCs w:val="20"/>
              </w:rPr>
            </w:pPr>
            <w:r w:rsidRPr="00724399">
              <w:rPr>
                <w:b/>
                <w:i/>
                <w:sz w:val="20"/>
                <w:szCs w:val="20"/>
              </w:rPr>
              <w:t>CONTRIBUCIÓN AL SENCICO</w:t>
            </w:r>
          </w:p>
        </w:tc>
        <w:tc>
          <w:tcPr>
            <w:tcW w:w="6237" w:type="dxa"/>
            <w:shd w:val="clear" w:color="auto" w:fill="FFFFFF"/>
            <w:hideMark/>
          </w:tcPr>
          <w:p w:rsidR="003427CB" w:rsidRPr="003427CB" w:rsidRDefault="003427CB" w:rsidP="003427CB">
            <w:pPr>
              <w:spacing w:line="240" w:lineRule="auto"/>
              <w:rPr>
                <w:sz w:val="20"/>
                <w:szCs w:val="20"/>
              </w:rPr>
            </w:pPr>
            <w:r w:rsidRPr="003427CB">
              <w:rPr>
                <w:sz w:val="20"/>
                <w:szCs w:val="20"/>
              </w:rPr>
              <w:t>La tasa a aplicarse sobre la base imponible equivale a 0.2%.</w:t>
            </w:r>
          </w:p>
        </w:tc>
      </w:tr>
    </w:tbl>
    <w:p w:rsidR="003427CB" w:rsidRPr="003427CB" w:rsidRDefault="00A370B8" w:rsidP="00A370B8">
      <w:pPr>
        <w:ind w:left="6372" w:firstLine="708"/>
      </w:pPr>
      <w:r>
        <w:t>PROF. ALEXANDER FLÓREZ GONZALES</w:t>
      </w:r>
    </w:p>
    <w:sectPr w:rsidR="003427CB" w:rsidRPr="003427CB" w:rsidSect="00724399">
      <w:pgSz w:w="11906" w:h="16838"/>
      <w:pgMar w:top="709"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CB"/>
    <w:rsid w:val="00235387"/>
    <w:rsid w:val="003427CB"/>
    <w:rsid w:val="00724399"/>
    <w:rsid w:val="008315E6"/>
    <w:rsid w:val="0085330C"/>
    <w:rsid w:val="00A370B8"/>
    <w:rsid w:val="00DE7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427C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27CB"/>
    <w:rPr>
      <w:color w:val="0000FF" w:themeColor="hyperlink"/>
      <w:u w:val="single"/>
    </w:rPr>
  </w:style>
  <w:style w:type="character" w:customStyle="1" w:styleId="Ttulo2Car">
    <w:name w:val="Título 2 Car"/>
    <w:basedOn w:val="Fuentedeprrafopredeter"/>
    <w:link w:val="Ttulo2"/>
    <w:uiPriority w:val="9"/>
    <w:rsid w:val="003427CB"/>
    <w:rPr>
      <w:rFonts w:ascii="Times New Roman" w:eastAsia="Times New Roman" w:hAnsi="Times New Roman" w:cs="Times New Roman"/>
      <w:b/>
      <w:bCs/>
      <w:sz w:val="36"/>
      <w:szCs w:val="36"/>
      <w:lang w:eastAsia="es-ES"/>
    </w:rPr>
  </w:style>
  <w:style w:type="character" w:customStyle="1" w:styleId="inpost-date">
    <w:name w:val="inpost-date"/>
    <w:basedOn w:val="Fuentedeprrafopredeter"/>
    <w:rsid w:val="00342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427C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27CB"/>
    <w:rPr>
      <w:color w:val="0000FF" w:themeColor="hyperlink"/>
      <w:u w:val="single"/>
    </w:rPr>
  </w:style>
  <w:style w:type="character" w:customStyle="1" w:styleId="Ttulo2Car">
    <w:name w:val="Título 2 Car"/>
    <w:basedOn w:val="Fuentedeprrafopredeter"/>
    <w:link w:val="Ttulo2"/>
    <w:uiPriority w:val="9"/>
    <w:rsid w:val="003427CB"/>
    <w:rPr>
      <w:rFonts w:ascii="Times New Roman" w:eastAsia="Times New Roman" w:hAnsi="Times New Roman" w:cs="Times New Roman"/>
      <w:b/>
      <w:bCs/>
      <w:sz w:val="36"/>
      <w:szCs w:val="36"/>
      <w:lang w:eastAsia="es-ES"/>
    </w:rPr>
  </w:style>
  <w:style w:type="character" w:customStyle="1" w:styleId="inpost-date">
    <w:name w:val="inpost-date"/>
    <w:basedOn w:val="Fuentedeprrafopredeter"/>
    <w:rsid w:val="0034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3356">
      <w:bodyDiv w:val="1"/>
      <w:marLeft w:val="0"/>
      <w:marRight w:val="0"/>
      <w:marTop w:val="0"/>
      <w:marBottom w:val="0"/>
      <w:divBdr>
        <w:top w:val="none" w:sz="0" w:space="0" w:color="auto"/>
        <w:left w:val="none" w:sz="0" w:space="0" w:color="auto"/>
        <w:bottom w:val="none" w:sz="0" w:space="0" w:color="auto"/>
        <w:right w:val="none" w:sz="0" w:space="0" w:color="auto"/>
      </w:divBdr>
    </w:div>
    <w:div w:id="19325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Pages>
  <Words>857</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6</cp:revision>
  <dcterms:created xsi:type="dcterms:W3CDTF">2014-10-15T11:08:00Z</dcterms:created>
  <dcterms:modified xsi:type="dcterms:W3CDTF">2014-11-18T17:32:00Z</dcterms:modified>
</cp:coreProperties>
</file>